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A41A" w14:textId="77777777" w:rsidR="00900285" w:rsidRDefault="00900285" w:rsidP="00900285">
      <w:bookmarkStart w:id="0" w:name="_Hlk163562092"/>
      <w:bookmarkStart w:id="1" w:name="_Hlk163561860"/>
      <w:r>
        <w:rPr>
          <w:noProof/>
        </w:rPr>
        <w:drawing>
          <wp:inline distT="0" distB="0" distL="0" distR="0" wp14:anchorId="3ACC7375" wp14:editId="2F6B4630">
            <wp:extent cx="1304925" cy="526792"/>
            <wp:effectExtent l="0" t="0" r="0" b="6985"/>
            <wp:docPr id="611206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9" cy="530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095EE6" w14:textId="77777777" w:rsidR="00900285" w:rsidRPr="00536C7A" w:rsidRDefault="00900285" w:rsidP="00900285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>Registered Charity No 223015</w:t>
      </w:r>
    </w:p>
    <w:bookmarkEnd w:id="0"/>
    <w:p w14:paraId="358A7526" w14:textId="77777777" w:rsidR="00900285" w:rsidRDefault="00900285" w:rsidP="00900285">
      <w:pPr>
        <w:rPr>
          <w:rFonts w:ascii="Arial" w:hAnsi="Arial" w:cs="Arial"/>
          <w:b/>
          <w:bCs/>
          <w:sz w:val="24"/>
          <w:szCs w:val="24"/>
        </w:rPr>
      </w:pPr>
    </w:p>
    <w:p w14:paraId="1BBCF33F" w14:textId="193E4FE6" w:rsidR="00900285" w:rsidRPr="00536C7A" w:rsidRDefault="00900285" w:rsidP="00900285">
      <w:pPr>
        <w:rPr>
          <w:rFonts w:ascii="Arial" w:hAnsi="Arial" w:cs="Arial"/>
          <w:b/>
          <w:bCs/>
          <w:sz w:val="24"/>
          <w:szCs w:val="24"/>
        </w:rPr>
      </w:pPr>
      <w:r w:rsidRPr="00536C7A">
        <w:rPr>
          <w:rFonts w:ascii="Arial" w:hAnsi="Arial" w:cs="Arial"/>
          <w:b/>
          <w:bCs/>
          <w:sz w:val="24"/>
          <w:szCs w:val="24"/>
        </w:rPr>
        <w:t xml:space="preserve">Cononley Village Institute – </w:t>
      </w:r>
      <w:r w:rsidRPr="00900285">
        <w:rPr>
          <w:rFonts w:ascii="Arial" w:hAnsi="Arial" w:cs="Arial"/>
          <w:b/>
          <w:bCs/>
          <w:sz w:val="24"/>
          <w:szCs w:val="24"/>
        </w:rPr>
        <w:t>DBS AND DISQUALIFICATION POLICY</w:t>
      </w:r>
    </w:p>
    <w:bookmarkEnd w:id="1"/>
    <w:p w14:paraId="1A0CCB5A" w14:textId="39FABC1D" w:rsidR="00900285" w:rsidRPr="00752FEB" w:rsidRDefault="00900285">
      <w:pPr>
        <w:rPr>
          <w:rFonts w:ascii="Arial" w:hAnsi="Arial" w:cs="Arial"/>
          <w:sz w:val="24"/>
          <w:szCs w:val="24"/>
          <w:u w:val="single"/>
        </w:rPr>
      </w:pPr>
      <w:r w:rsidRPr="00752FEB">
        <w:rPr>
          <w:rFonts w:ascii="Arial" w:hAnsi="Arial" w:cs="Arial"/>
          <w:sz w:val="24"/>
          <w:szCs w:val="24"/>
        </w:rPr>
        <w:t xml:space="preserve">This policy was written following an online meeting with Rebecca </w:t>
      </w:r>
      <w:r w:rsidR="00752FEB" w:rsidRPr="00752FEB">
        <w:rPr>
          <w:rFonts w:ascii="Arial" w:hAnsi="Arial" w:cs="Arial"/>
          <w:sz w:val="24"/>
          <w:szCs w:val="24"/>
        </w:rPr>
        <w:t xml:space="preserve">Bool </w:t>
      </w:r>
      <w:r w:rsidR="00752FEB" w:rsidRPr="00752FE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118063" wp14:editId="1998059B">
            <wp:extent cx="9525" cy="9525"/>
            <wp:effectExtent l="0" t="0" r="0" b="0"/>
            <wp:docPr id="17372258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FEB" w:rsidRPr="00752FEB">
        <w:rPr>
          <w:rFonts w:ascii="Arial" w:hAnsi="Arial" w:cs="Arial"/>
          <w:color w:val="227ACB"/>
          <w:sz w:val="24"/>
          <w:szCs w:val="24"/>
          <w:u w:val="single"/>
        </w:rPr>
        <w:t>Rebecca.bool@dbs.gov.uk</w:t>
      </w:r>
      <w:r w:rsidR="00752FEB" w:rsidRPr="00752FEB">
        <w:rPr>
          <w:rFonts w:ascii="Arial" w:hAnsi="Arial" w:cs="Arial"/>
          <w:sz w:val="24"/>
          <w:szCs w:val="24"/>
          <w:u w:val="single"/>
        </w:rPr>
        <w:t xml:space="preserve"> </w:t>
      </w:r>
      <w:r w:rsidRPr="00752FEB">
        <w:rPr>
          <w:rFonts w:ascii="Arial" w:hAnsi="Arial" w:cs="Arial"/>
          <w:sz w:val="24"/>
          <w:szCs w:val="24"/>
        </w:rPr>
        <w:t>DBS Service 10/12/24</w:t>
      </w:r>
    </w:p>
    <w:p w14:paraId="218FF971" w14:textId="7A0D99CA" w:rsidR="001E2844" w:rsidRPr="00752FEB" w:rsidRDefault="001E2844">
      <w:pPr>
        <w:rPr>
          <w:rFonts w:ascii="Arial" w:hAnsi="Arial" w:cs="Arial"/>
          <w:sz w:val="24"/>
          <w:szCs w:val="24"/>
        </w:rPr>
      </w:pPr>
      <w:r w:rsidRPr="00752FEB">
        <w:rPr>
          <w:rFonts w:ascii="Arial" w:hAnsi="Arial" w:cs="Arial"/>
          <w:sz w:val="24"/>
          <w:szCs w:val="24"/>
        </w:rPr>
        <w:t xml:space="preserve">In accordance with Disclosure and Barring Service there is no legal requirement to carry out DBS checks although </w:t>
      </w:r>
      <w:hyperlink r:id="rId9" w:history="1">
        <w:r w:rsidR="009E7092" w:rsidRPr="00B74F5B">
          <w:rPr>
            <w:rStyle w:val="Hyperlink"/>
            <w:rFonts w:ascii="Arial" w:hAnsi="Arial" w:cs="Arial"/>
            <w:sz w:val="24"/>
            <w:szCs w:val="24"/>
          </w:rPr>
          <w:t>https://www.gov.uk/guidance/safeguarding-duties-for-charity-trustees</w:t>
        </w:r>
      </w:hyperlink>
      <w:r w:rsidR="009E7092">
        <w:rPr>
          <w:rFonts w:ascii="Arial" w:hAnsi="Arial" w:cs="Arial"/>
          <w:sz w:val="24"/>
          <w:szCs w:val="24"/>
        </w:rPr>
        <w:t xml:space="preserve"> says ‘Y</w:t>
      </w:r>
      <w:r w:rsidR="009E7092" w:rsidRPr="009E7092">
        <w:rPr>
          <w:rFonts w:ascii="Arial" w:hAnsi="Arial" w:cs="Arial"/>
          <w:sz w:val="24"/>
          <w:szCs w:val="24"/>
        </w:rPr>
        <w:t>ou should consider whether to use DBS checks as part of your wide range of checks on trustees, staff and volunteers</w:t>
      </w:r>
      <w:r w:rsidR="009E7092">
        <w:rPr>
          <w:rFonts w:ascii="Arial" w:hAnsi="Arial" w:cs="Arial"/>
          <w:sz w:val="24"/>
          <w:szCs w:val="24"/>
        </w:rPr>
        <w:t xml:space="preserve">’ </w:t>
      </w:r>
    </w:p>
    <w:p w14:paraId="58E6FF07" w14:textId="77777777" w:rsidR="00900285" w:rsidRPr="00752FEB" w:rsidRDefault="00900285">
      <w:pPr>
        <w:rPr>
          <w:rFonts w:ascii="Arial" w:hAnsi="Arial" w:cs="Arial"/>
          <w:sz w:val="24"/>
          <w:szCs w:val="24"/>
        </w:rPr>
      </w:pPr>
      <w:r w:rsidRPr="00752FEB">
        <w:rPr>
          <w:rFonts w:ascii="Arial" w:hAnsi="Arial" w:cs="Arial"/>
          <w:b/>
          <w:bCs/>
          <w:sz w:val="24"/>
          <w:szCs w:val="24"/>
        </w:rPr>
        <w:t>Current understanding</w:t>
      </w:r>
      <w:r w:rsidRPr="00752FEB">
        <w:rPr>
          <w:rFonts w:ascii="Arial" w:hAnsi="Arial" w:cs="Arial"/>
          <w:sz w:val="24"/>
          <w:szCs w:val="24"/>
        </w:rPr>
        <w:t xml:space="preserve">. When </w:t>
      </w:r>
      <w:r w:rsidR="001E2844" w:rsidRPr="00752FEB">
        <w:rPr>
          <w:rFonts w:ascii="Arial" w:hAnsi="Arial" w:cs="Arial"/>
          <w:sz w:val="24"/>
          <w:szCs w:val="24"/>
        </w:rPr>
        <w:t xml:space="preserve">events are open to the </w:t>
      </w:r>
      <w:r w:rsidRPr="00752FEB">
        <w:rPr>
          <w:rFonts w:ascii="Arial" w:hAnsi="Arial" w:cs="Arial"/>
          <w:sz w:val="24"/>
          <w:szCs w:val="24"/>
        </w:rPr>
        <w:t xml:space="preserve">general </w:t>
      </w:r>
      <w:r w:rsidR="001E2844" w:rsidRPr="00752FEB">
        <w:rPr>
          <w:rFonts w:ascii="Arial" w:hAnsi="Arial" w:cs="Arial"/>
          <w:sz w:val="24"/>
          <w:szCs w:val="24"/>
        </w:rPr>
        <w:t xml:space="preserve">public then DBS is not required </w:t>
      </w:r>
      <w:r w:rsidRPr="00752FEB">
        <w:rPr>
          <w:rFonts w:ascii="Arial" w:hAnsi="Arial" w:cs="Arial"/>
          <w:sz w:val="24"/>
          <w:szCs w:val="24"/>
        </w:rPr>
        <w:t xml:space="preserve">but any organisation can request a basis DBS check which gives information about any unspent convictions and cautions. </w:t>
      </w:r>
    </w:p>
    <w:p w14:paraId="435ABC86" w14:textId="44882125" w:rsidR="00900285" w:rsidRPr="00752FEB" w:rsidRDefault="00900285" w:rsidP="00900285">
      <w:pPr>
        <w:rPr>
          <w:rFonts w:ascii="Arial" w:hAnsi="Arial" w:cs="Arial"/>
          <w:sz w:val="24"/>
          <w:szCs w:val="24"/>
        </w:rPr>
      </w:pPr>
      <w:r w:rsidRPr="00752FEB">
        <w:rPr>
          <w:rFonts w:ascii="Arial" w:hAnsi="Arial" w:cs="Arial"/>
          <w:sz w:val="24"/>
          <w:szCs w:val="24"/>
        </w:rPr>
        <w:t>It</w:t>
      </w:r>
      <w:r w:rsidR="001E2844" w:rsidRPr="00752FEB">
        <w:rPr>
          <w:rFonts w:ascii="Arial" w:hAnsi="Arial" w:cs="Arial"/>
          <w:sz w:val="24"/>
          <w:szCs w:val="24"/>
        </w:rPr>
        <w:t xml:space="preserve"> may be appropriate to request standard or enhanced DBS checks </w:t>
      </w:r>
      <w:r w:rsidR="00752FEB" w:rsidRPr="00752FEB">
        <w:rPr>
          <w:rFonts w:ascii="Arial" w:hAnsi="Arial" w:cs="Arial"/>
          <w:sz w:val="24"/>
          <w:szCs w:val="24"/>
        </w:rPr>
        <w:t xml:space="preserve">which includes information about spent convictions as well as current unspent convictions and cautions </w:t>
      </w:r>
      <w:r w:rsidR="001E2844" w:rsidRPr="00752FEB">
        <w:rPr>
          <w:rFonts w:ascii="Arial" w:hAnsi="Arial" w:cs="Arial"/>
          <w:sz w:val="24"/>
          <w:szCs w:val="24"/>
        </w:rPr>
        <w:t xml:space="preserve">if specific services are being offered </w:t>
      </w:r>
      <w:r w:rsidR="00BF6096">
        <w:rPr>
          <w:rFonts w:ascii="Arial" w:hAnsi="Arial" w:cs="Arial"/>
          <w:sz w:val="24"/>
          <w:szCs w:val="24"/>
        </w:rPr>
        <w:t>including</w:t>
      </w:r>
    </w:p>
    <w:p w14:paraId="48B37ED0" w14:textId="62B48B8E" w:rsidR="001E2844" w:rsidRPr="00752FEB" w:rsidRDefault="001E2844" w:rsidP="009002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2FEB">
        <w:rPr>
          <w:rFonts w:ascii="Arial" w:hAnsi="Arial" w:cs="Arial"/>
          <w:sz w:val="24"/>
          <w:szCs w:val="24"/>
        </w:rPr>
        <w:t>Regular sessions / social events aimed specifically at vulnerable adults, including the elderly. Regular is seen as 3 days in any 30 day period.</w:t>
      </w:r>
    </w:p>
    <w:p w14:paraId="60CC9470" w14:textId="52507961" w:rsidR="001E2844" w:rsidRPr="00752FEB" w:rsidRDefault="001E2844" w:rsidP="001E28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52FEB">
        <w:rPr>
          <w:rFonts w:ascii="Arial" w:hAnsi="Arial" w:cs="Arial"/>
          <w:sz w:val="24"/>
          <w:szCs w:val="24"/>
        </w:rPr>
        <w:t>Regular sessions / social events aimed specifically at under 18 year olds</w:t>
      </w:r>
      <w:r w:rsidR="00752FEB" w:rsidRPr="00752FEB">
        <w:rPr>
          <w:rFonts w:ascii="Arial" w:hAnsi="Arial" w:cs="Arial"/>
          <w:sz w:val="24"/>
          <w:szCs w:val="24"/>
        </w:rPr>
        <w:t>. Regular is seen as 3 days in any 30 day period</w:t>
      </w:r>
    </w:p>
    <w:p w14:paraId="174F8849" w14:textId="3690F4E8" w:rsidR="00900285" w:rsidRPr="00752FEB" w:rsidRDefault="00900285" w:rsidP="001E2844">
      <w:pPr>
        <w:rPr>
          <w:rFonts w:ascii="Arial" w:hAnsi="Arial" w:cs="Arial"/>
          <w:sz w:val="24"/>
          <w:szCs w:val="24"/>
        </w:rPr>
      </w:pPr>
      <w:r w:rsidRPr="00752FEB">
        <w:rPr>
          <w:rFonts w:ascii="Arial" w:hAnsi="Arial" w:cs="Arial"/>
          <w:sz w:val="24"/>
          <w:szCs w:val="24"/>
        </w:rPr>
        <w:t xml:space="preserve">CVI does not currently run </w:t>
      </w:r>
      <w:r w:rsidR="00752FEB" w:rsidRPr="00752FEB">
        <w:rPr>
          <w:rFonts w:ascii="Arial" w:hAnsi="Arial" w:cs="Arial"/>
          <w:sz w:val="24"/>
          <w:szCs w:val="24"/>
        </w:rPr>
        <w:t xml:space="preserve">regular session / social events for </w:t>
      </w:r>
      <w:r w:rsidRPr="00752FEB">
        <w:rPr>
          <w:rFonts w:ascii="Arial" w:hAnsi="Arial" w:cs="Arial"/>
          <w:sz w:val="24"/>
          <w:szCs w:val="24"/>
        </w:rPr>
        <w:t>and as such does not require volunteers to have a standard or enhanced DBS check.</w:t>
      </w:r>
    </w:p>
    <w:p w14:paraId="3ABB721D" w14:textId="668996B6" w:rsidR="001E2844" w:rsidRPr="00752FEB" w:rsidRDefault="00AD3E83" w:rsidP="001E2844">
      <w:pPr>
        <w:rPr>
          <w:rFonts w:ascii="Arial" w:hAnsi="Arial" w:cs="Arial"/>
          <w:sz w:val="24"/>
          <w:szCs w:val="24"/>
        </w:rPr>
      </w:pPr>
      <w:r w:rsidRPr="00752FEB">
        <w:rPr>
          <w:rFonts w:ascii="Arial" w:hAnsi="Arial" w:cs="Arial"/>
          <w:sz w:val="24"/>
          <w:szCs w:val="24"/>
        </w:rPr>
        <w:t>If an individual already has a DBS check, this could be transferable if it is the appropriate DBS check</w:t>
      </w:r>
      <w:r w:rsidR="00900285" w:rsidRPr="00752FEB">
        <w:rPr>
          <w:rFonts w:ascii="Arial" w:hAnsi="Arial" w:cs="Arial"/>
          <w:sz w:val="24"/>
          <w:szCs w:val="24"/>
        </w:rPr>
        <w:t>, but should only be requested if the position / volunteer is required to have a DBS check</w:t>
      </w:r>
      <w:r w:rsidRPr="00752FEB">
        <w:rPr>
          <w:rFonts w:ascii="Arial" w:hAnsi="Arial" w:cs="Arial"/>
          <w:sz w:val="24"/>
          <w:szCs w:val="24"/>
        </w:rPr>
        <w:t>.  CVI cannot legally look at a higher level DBS check than is required for the individuals role within CVI</w:t>
      </w:r>
    </w:p>
    <w:p w14:paraId="02540236" w14:textId="6A483C1D" w:rsidR="00AD3E83" w:rsidRDefault="00AD3E83" w:rsidP="001E2844">
      <w:pPr>
        <w:rPr>
          <w:rFonts w:ascii="Arial" w:hAnsi="Arial" w:cs="Arial"/>
          <w:sz w:val="24"/>
          <w:szCs w:val="24"/>
        </w:rPr>
      </w:pPr>
      <w:r w:rsidRPr="00BF6096">
        <w:rPr>
          <w:rFonts w:ascii="Arial" w:hAnsi="Arial" w:cs="Arial"/>
          <w:b/>
          <w:bCs/>
          <w:sz w:val="24"/>
          <w:szCs w:val="24"/>
        </w:rPr>
        <w:t>To conclude:</w:t>
      </w:r>
      <w:r w:rsidRPr="00752FEB">
        <w:rPr>
          <w:rFonts w:ascii="Arial" w:hAnsi="Arial" w:cs="Arial"/>
          <w:sz w:val="24"/>
          <w:szCs w:val="24"/>
        </w:rPr>
        <w:t xml:space="preserve"> </w:t>
      </w:r>
      <w:r w:rsidR="00900285" w:rsidRPr="00752FEB">
        <w:rPr>
          <w:rFonts w:ascii="Arial" w:hAnsi="Arial" w:cs="Arial"/>
          <w:sz w:val="24"/>
          <w:szCs w:val="24"/>
        </w:rPr>
        <w:t>CVIAC do not require any DBS</w:t>
      </w:r>
      <w:r w:rsidRPr="00752FEB">
        <w:rPr>
          <w:rFonts w:ascii="Arial" w:hAnsi="Arial" w:cs="Arial"/>
          <w:sz w:val="24"/>
          <w:szCs w:val="24"/>
        </w:rPr>
        <w:t xml:space="preserve"> checks </w:t>
      </w:r>
      <w:r w:rsidR="00900285" w:rsidRPr="00752FEB">
        <w:rPr>
          <w:rFonts w:ascii="Arial" w:hAnsi="Arial" w:cs="Arial"/>
          <w:sz w:val="24"/>
          <w:szCs w:val="24"/>
        </w:rPr>
        <w:t xml:space="preserve">for general volunteers </w:t>
      </w:r>
      <w:r w:rsidR="00BF6096">
        <w:rPr>
          <w:rFonts w:ascii="Arial" w:hAnsi="Arial" w:cs="Arial"/>
          <w:sz w:val="24"/>
          <w:szCs w:val="24"/>
        </w:rPr>
        <w:t xml:space="preserve">involved in running </w:t>
      </w:r>
      <w:r w:rsidR="00900285" w:rsidRPr="00752FEB">
        <w:rPr>
          <w:rFonts w:ascii="Arial" w:hAnsi="Arial" w:cs="Arial"/>
          <w:sz w:val="24"/>
          <w:szCs w:val="24"/>
        </w:rPr>
        <w:t xml:space="preserve">public events or ad hoc events for children or vulnerable adults. </w:t>
      </w:r>
    </w:p>
    <w:p w14:paraId="099B511C" w14:textId="54C9E360" w:rsidR="00BF6096" w:rsidRPr="00752FEB" w:rsidRDefault="00BF6096" w:rsidP="001E2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CVIAC ran regular sessions for vulnerable groups then the need for DBS checks would be revisited</w:t>
      </w:r>
    </w:p>
    <w:p w14:paraId="19A071EA" w14:textId="6CD07101" w:rsidR="00AD3E83" w:rsidRPr="00752FEB" w:rsidRDefault="00AD3E83" w:rsidP="001E2844">
      <w:pPr>
        <w:rPr>
          <w:rFonts w:ascii="Arial" w:hAnsi="Arial" w:cs="Arial"/>
          <w:sz w:val="24"/>
          <w:szCs w:val="24"/>
        </w:rPr>
      </w:pPr>
      <w:r w:rsidRPr="00752FEB">
        <w:rPr>
          <w:rFonts w:ascii="Arial" w:hAnsi="Arial" w:cs="Arial"/>
          <w:sz w:val="24"/>
          <w:szCs w:val="24"/>
        </w:rPr>
        <w:t>CVIAC agree to carry out basic level checks on any future treasurer</w:t>
      </w:r>
    </w:p>
    <w:p w14:paraId="6ECC2B28" w14:textId="0F41216A" w:rsidR="00AD3E83" w:rsidRPr="00752FEB" w:rsidRDefault="00AD3E83" w:rsidP="001E2844">
      <w:pPr>
        <w:rPr>
          <w:rFonts w:ascii="Arial" w:hAnsi="Arial" w:cs="Arial"/>
          <w:sz w:val="24"/>
          <w:szCs w:val="24"/>
        </w:rPr>
      </w:pPr>
      <w:r w:rsidRPr="00752FEB">
        <w:rPr>
          <w:rFonts w:ascii="Arial" w:hAnsi="Arial" w:cs="Arial"/>
          <w:sz w:val="24"/>
          <w:szCs w:val="24"/>
        </w:rPr>
        <w:t>CVIAC agree to carry out a basic DBS check on any person working as CVI Caretaker on a 3 yearly basis</w:t>
      </w:r>
    </w:p>
    <w:p w14:paraId="0C959B1E" w14:textId="327F6F49" w:rsidR="001E2844" w:rsidRPr="00752FEB" w:rsidRDefault="001E2844" w:rsidP="001E2844">
      <w:pPr>
        <w:rPr>
          <w:rFonts w:ascii="Arial" w:hAnsi="Arial" w:cs="Arial"/>
          <w:sz w:val="24"/>
          <w:szCs w:val="24"/>
        </w:rPr>
      </w:pPr>
      <w:r w:rsidRPr="00752FEB">
        <w:rPr>
          <w:rFonts w:ascii="Arial" w:hAnsi="Arial" w:cs="Arial"/>
          <w:sz w:val="24"/>
          <w:szCs w:val="24"/>
        </w:rPr>
        <w:t xml:space="preserve">There are automatic disqualification rules for trustees or senior managers but as CVI Sole Trustee is Cononley Parish Council this is addressed elsewhere </w:t>
      </w:r>
      <w:hyperlink r:id="rId10" w:history="1">
        <w:r w:rsidRPr="00752FEB">
          <w:rPr>
            <w:rStyle w:val="Hyperlink"/>
            <w:rFonts w:ascii="Arial" w:hAnsi="Arial" w:cs="Arial"/>
            <w:sz w:val="24"/>
            <w:szCs w:val="24"/>
          </w:rPr>
          <w:t>https://www.gov.uk/guidance/automatic-disqualification-rule-changes-guidance-for-charities</w:t>
        </w:r>
      </w:hyperlink>
    </w:p>
    <w:p w14:paraId="61EAEAFE" w14:textId="4CBA3A9C" w:rsidR="00900285" w:rsidRPr="00752FEB" w:rsidRDefault="00900285" w:rsidP="00900285">
      <w:pPr>
        <w:rPr>
          <w:rFonts w:ascii="Arial" w:hAnsi="Arial" w:cs="Arial"/>
          <w:sz w:val="24"/>
          <w:szCs w:val="24"/>
        </w:rPr>
      </w:pPr>
      <w:bookmarkStart w:id="2" w:name="_Hlk163561902"/>
      <w:r w:rsidRPr="00752FEB">
        <w:rPr>
          <w:rFonts w:ascii="Arial" w:hAnsi="Arial" w:cs="Arial"/>
          <w:sz w:val="24"/>
          <w:szCs w:val="24"/>
        </w:rPr>
        <w:t>Policy Agreed:</w:t>
      </w:r>
      <w:r w:rsidRPr="00752FEB">
        <w:rPr>
          <w:rFonts w:ascii="Arial" w:hAnsi="Arial" w:cs="Arial"/>
          <w:sz w:val="24"/>
          <w:szCs w:val="24"/>
        </w:rPr>
        <w:tab/>
      </w:r>
      <w:r w:rsidRPr="00752FEB">
        <w:rPr>
          <w:rFonts w:ascii="Arial" w:hAnsi="Arial" w:cs="Arial"/>
          <w:sz w:val="24"/>
          <w:szCs w:val="24"/>
        </w:rPr>
        <w:tab/>
        <w:t xml:space="preserve"> January 2025</w:t>
      </w:r>
    </w:p>
    <w:p w14:paraId="2ED523F3" w14:textId="02ADC7C9" w:rsidR="001E2844" w:rsidRPr="00752FEB" w:rsidRDefault="00900285" w:rsidP="001E2844">
      <w:pPr>
        <w:rPr>
          <w:rFonts w:ascii="Arial" w:hAnsi="Arial" w:cs="Arial"/>
          <w:sz w:val="24"/>
          <w:szCs w:val="24"/>
        </w:rPr>
      </w:pPr>
      <w:r w:rsidRPr="00752FEB">
        <w:rPr>
          <w:rFonts w:ascii="Arial" w:hAnsi="Arial" w:cs="Arial"/>
          <w:sz w:val="24"/>
          <w:szCs w:val="24"/>
        </w:rPr>
        <w:t xml:space="preserve">Policy Review Date: </w:t>
      </w:r>
      <w:r w:rsidRPr="00752FEB">
        <w:rPr>
          <w:rFonts w:ascii="Arial" w:hAnsi="Arial" w:cs="Arial"/>
          <w:sz w:val="24"/>
          <w:szCs w:val="24"/>
        </w:rPr>
        <w:tab/>
      </w:r>
      <w:bookmarkEnd w:id="2"/>
      <w:r w:rsidR="009A0A33" w:rsidRPr="009A0A33">
        <w:rPr>
          <w:rFonts w:ascii="Arial" w:hAnsi="Arial" w:cs="Arial"/>
          <w:sz w:val="24"/>
          <w:szCs w:val="24"/>
        </w:rPr>
        <w:t>March 2026</w:t>
      </w:r>
    </w:p>
    <w:sectPr w:rsidR="001E2844" w:rsidRPr="00752FE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0CCA" w14:textId="77777777" w:rsidR="00CF6BE7" w:rsidRDefault="00CF6BE7" w:rsidP="00900285">
      <w:pPr>
        <w:spacing w:after="0" w:line="240" w:lineRule="auto"/>
      </w:pPr>
      <w:r>
        <w:separator/>
      </w:r>
    </w:p>
  </w:endnote>
  <w:endnote w:type="continuationSeparator" w:id="0">
    <w:p w14:paraId="2F0AAD01" w14:textId="77777777" w:rsidR="00CF6BE7" w:rsidRDefault="00CF6BE7" w:rsidP="0090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CDDA" w14:textId="559354D4" w:rsidR="00900285" w:rsidRDefault="00900285" w:rsidP="00900285">
    <w:pPr>
      <w:pStyle w:val="Footer"/>
    </w:pPr>
    <w:r>
      <w:t>CVI 11 DBS and disqualification 13/12/24</w:t>
    </w:r>
  </w:p>
  <w:p w14:paraId="2F4CC7CA" w14:textId="77777777" w:rsidR="00900285" w:rsidRDefault="00900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AD02" w14:textId="77777777" w:rsidR="00CF6BE7" w:rsidRDefault="00CF6BE7" w:rsidP="00900285">
      <w:pPr>
        <w:spacing w:after="0" w:line="240" w:lineRule="auto"/>
      </w:pPr>
      <w:r>
        <w:separator/>
      </w:r>
    </w:p>
  </w:footnote>
  <w:footnote w:type="continuationSeparator" w:id="0">
    <w:p w14:paraId="0971281C" w14:textId="77777777" w:rsidR="00CF6BE7" w:rsidRDefault="00CF6BE7" w:rsidP="00900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D5213"/>
    <w:multiLevelType w:val="hybridMultilevel"/>
    <w:tmpl w:val="15EEA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22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44"/>
    <w:rsid w:val="000B729C"/>
    <w:rsid w:val="001E2844"/>
    <w:rsid w:val="003C6DAD"/>
    <w:rsid w:val="00741239"/>
    <w:rsid w:val="00752FEB"/>
    <w:rsid w:val="00766B54"/>
    <w:rsid w:val="00793669"/>
    <w:rsid w:val="00800ADB"/>
    <w:rsid w:val="008875B6"/>
    <w:rsid w:val="00900285"/>
    <w:rsid w:val="009A0A33"/>
    <w:rsid w:val="009E7092"/>
    <w:rsid w:val="00A62CFD"/>
    <w:rsid w:val="00AC41EE"/>
    <w:rsid w:val="00AD3E83"/>
    <w:rsid w:val="00BF6096"/>
    <w:rsid w:val="00CF6BE7"/>
    <w:rsid w:val="00F0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A3F9"/>
  <w15:chartTrackingRefBased/>
  <w15:docId w15:val="{08406EBF-EE5D-4E69-AB0E-6D4DD388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8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2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8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85"/>
  </w:style>
  <w:style w:type="paragraph" w:styleId="Footer">
    <w:name w:val="footer"/>
    <w:basedOn w:val="Normal"/>
    <w:link w:val="FooterChar"/>
    <w:uiPriority w:val="99"/>
    <w:unhideWhenUsed/>
    <w:rsid w:val="00900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uk/guidance/automatic-disqualification-rule-changes-guidance-for-char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safeguarding-duties-for-charity-trust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Allum</dc:creator>
  <cp:keywords/>
  <dc:description/>
  <cp:lastModifiedBy>Mark Allum</cp:lastModifiedBy>
  <cp:revision>7</cp:revision>
  <dcterms:created xsi:type="dcterms:W3CDTF">2024-12-12T16:26:00Z</dcterms:created>
  <dcterms:modified xsi:type="dcterms:W3CDTF">2026-03-10T09:29:00Z</dcterms:modified>
</cp:coreProperties>
</file>